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6F0B3C" w:rsidP="006F0B3C">
      <w:pPr>
        <w:tabs>
          <w:tab w:val="left" w:pos="5529"/>
        </w:tabs>
        <w:ind w:left="5529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16.10.2018 № 266 В               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 xml:space="preserve">спеціаліста </w:t>
      </w:r>
      <w:r w:rsidR="0021147E">
        <w:rPr>
          <w:b/>
          <w:sz w:val="27"/>
          <w:szCs w:val="27"/>
          <w:lang w:val="uk-UA"/>
        </w:rPr>
        <w:t xml:space="preserve">організаційного </w:t>
      </w:r>
      <w:r w:rsidR="00902B01" w:rsidRPr="00902B01">
        <w:rPr>
          <w:b/>
          <w:sz w:val="27"/>
          <w:szCs w:val="27"/>
          <w:lang w:val="uk-UA"/>
        </w:rPr>
        <w:t xml:space="preserve">відділу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6F0B3C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Готує проект порядку денного Колегій Печерської районної в місті Києві державної адміністрації та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розширених апаратних нарад,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проекти рішень і протоколи доручень за підсумками проведення засідань з урахуванням пропозицій, висловлених під час Колегій Печерської районної в місті Києві державної адміністрації, апаратних нарад та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розширених апаратних нарад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, список запрошених на них осіб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Аналізує надані керівниками структурних підрозділів адміністрації (погоджені у відповідному порядку із першим заступником голови райдержадміністрації, заступником голови райдержадміністрації, керівником апарату райдержадміністрації відповідно до розподілу обов’язків) пропозиції та готує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перспективний (річний), поточні (квартальні)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плани роботи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райдержадміністрації та подає голові райдержадміністрації на затвердження;</w:t>
                  </w:r>
                </w:p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Готує план-календар основних заходів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 на тиждень, забезпечує організацію контролю за ходом його виконання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Організовує роботу щодо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участі у державних, загальноміських і районних заходах керівництва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, працівників структурних підрозділів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з нагоди відзначення державних, професійних, християнських православних свят та інших урочистих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lastRenderedPageBreak/>
                    <w:t>подій;</w:t>
                  </w:r>
                </w:p>
                <w:p w:rsidR="00902B01" w:rsidRPr="00902B01" w:rsidRDefault="002A733E" w:rsidP="00680CD3">
                  <w:pPr>
                    <w:pStyle w:val="a6"/>
                    <w:spacing w:line="276" w:lineRule="auto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="006A705D" w:rsidRPr="002A733E">
                    <w:rPr>
                      <w:sz w:val="27"/>
                      <w:szCs w:val="27"/>
                      <w:lang w:val="uk-UA"/>
                    </w:rPr>
                    <w:t>Здійснює підготовку і оновлення оперативної, довідкової інформації, дислокацій служб, установ та організацій району, забезпечує нею керівництво райдержадміністрації</w:t>
                  </w:r>
                  <w:r w:rsidR="006A705D" w:rsidRPr="00610078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>окументи приймаються до 1</w:t>
                  </w:r>
                  <w:r w:rsidR="006376E1">
                    <w:rPr>
                      <w:sz w:val="27"/>
                      <w:szCs w:val="27"/>
                      <w:lang w:val="uk-UA"/>
                    </w:rPr>
                    <w:t>6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 год. 45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680CD3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02 листопада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680CD3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680CD3">
                    <w:rPr>
                      <w:sz w:val="27"/>
                      <w:szCs w:val="27"/>
                      <w:lang w:val="uk-UA" w:eastAsia="en-US"/>
                    </w:rPr>
                    <w:t>08 листопада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Сіроштан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8B29B4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8B29B4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6376E1" w:rsidRDefault="00856B1E" w:rsidP="00D16185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3" w:firstLine="0"/>
                    <w:rPr>
                      <w:sz w:val="27"/>
                      <w:szCs w:val="27"/>
                      <w:lang w:val="uk-UA"/>
                    </w:rPr>
                  </w:pPr>
                  <w:r w:rsidRPr="006376E1">
                    <w:rPr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val="uk-UA" w:eastAsia="uk-UA"/>
                    </w:rPr>
            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Кабінетів Міністрів України від 30.11.2011 № 1242.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C7956"/>
    <w:rsid w:val="00207DDF"/>
    <w:rsid w:val="0021147E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90F87"/>
    <w:rsid w:val="003C55F5"/>
    <w:rsid w:val="0042020A"/>
    <w:rsid w:val="00422191"/>
    <w:rsid w:val="0046459D"/>
    <w:rsid w:val="004B4265"/>
    <w:rsid w:val="00515B10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C546B"/>
    <w:rsid w:val="006F0B3C"/>
    <w:rsid w:val="00706E8B"/>
    <w:rsid w:val="00713C3F"/>
    <w:rsid w:val="00785D21"/>
    <w:rsid w:val="008535B6"/>
    <w:rsid w:val="00856B1E"/>
    <w:rsid w:val="00867D12"/>
    <w:rsid w:val="008B29B4"/>
    <w:rsid w:val="008F0CB9"/>
    <w:rsid w:val="00902B01"/>
    <w:rsid w:val="00906D3A"/>
    <w:rsid w:val="009445A3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6202D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olena.siroshtan</cp:lastModifiedBy>
  <cp:revision>16</cp:revision>
  <cp:lastPrinted>2018-04-03T07:14:00Z</cp:lastPrinted>
  <dcterms:created xsi:type="dcterms:W3CDTF">2018-09-03T06:04:00Z</dcterms:created>
  <dcterms:modified xsi:type="dcterms:W3CDTF">2018-10-17T09:41:00Z</dcterms:modified>
</cp:coreProperties>
</file>