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F296B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3B3E2B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 16.12.2021 № 355В</w:t>
      </w:r>
    </w:p>
    <w:p w:rsidR="00B62B15" w:rsidRDefault="00B62B15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</w:t>
      </w:r>
      <w:r w:rsidR="003802C9">
        <w:rPr>
          <w:sz w:val="26"/>
          <w:szCs w:val="26"/>
          <w:lang w:val="uk-UA"/>
        </w:rPr>
        <w:t>завідувача сектором з питань запобігання та виявлення корупції</w:t>
      </w:r>
      <w:r w:rsidR="003802C9" w:rsidRPr="00882F00">
        <w:rPr>
          <w:sz w:val="26"/>
          <w:szCs w:val="26"/>
          <w:lang w:val="uk-UA"/>
        </w:rPr>
        <w:t xml:space="preserve"> </w:t>
      </w:r>
      <w:r w:rsidRPr="00882F00">
        <w:rPr>
          <w:sz w:val="26"/>
          <w:szCs w:val="26"/>
          <w:lang w:val="uk-UA"/>
        </w:rPr>
        <w:t>Печерської районної в місті Києві державної адміністрації</w:t>
      </w:r>
    </w:p>
    <w:p w:rsidR="00556DEC" w:rsidRPr="00882F00" w:rsidRDefault="00556DEC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78278F" w:rsidTr="003802C9">
        <w:trPr>
          <w:trHeight w:val="295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0" w:name="n766"/>
            <w:bookmarkEnd w:id="0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D85F01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2C9" w:rsidRPr="003802C9" w:rsidRDefault="003802C9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33"/>
              </w:tabs>
              <w:ind w:left="142" w:firstLine="142"/>
              <w:jc w:val="left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>1. Здійснює керівництво діяльністю сектору, несе персональну відповідальність за організацію виконання покладених на сектор завдань, планує та органі</w:t>
            </w:r>
            <w:r w:rsidR="00E63F9A">
              <w:rPr>
                <w:color w:val="000000"/>
                <w:sz w:val="24"/>
                <w:szCs w:val="24"/>
                <w:lang w:val="uk-UA" w:eastAsia="uk-UA" w:bidi="uk-UA"/>
              </w:rPr>
              <w:t xml:space="preserve">зовує роботу сектору, готує </w:t>
            </w:r>
            <w:proofErr w:type="spellStart"/>
            <w:r w:rsidR="00E63F9A">
              <w:rPr>
                <w:color w:val="000000"/>
                <w:sz w:val="24"/>
                <w:szCs w:val="24"/>
                <w:lang w:val="uk-UA" w:eastAsia="uk-UA" w:bidi="uk-UA"/>
              </w:rPr>
              <w:t>проє</w:t>
            </w:r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>кти</w:t>
            </w:r>
            <w:proofErr w:type="spellEnd"/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 xml:space="preserve"> розпоряджень та наказів, візує </w:t>
            </w:r>
            <w:proofErr w:type="spellStart"/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>про</w:t>
            </w:r>
            <w:r w:rsidR="00E63F9A">
              <w:rPr>
                <w:color w:val="000000"/>
                <w:sz w:val="24"/>
                <w:szCs w:val="24"/>
                <w:lang w:val="uk-UA" w:eastAsia="uk-UA" w:bidi="uk-UA"/>
              </w:rPr>
              <w:t>є</w:t>
            </w:r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>кти</w:t>
            </w:r>
            <w:proofErr w:type="spellEnd"/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 xml:space="preserve"> наказів та </w:t>
            </w:r>
            <w:r w:rsidRPr="003802C9">
              <w:rPr>
                <w:b/>
                <w:bCs/>
                <w:color w:val="000000"/>
                <w:w w:val="10"/>
                <w:sz w:val="24"/>
                <w:szCs w:val="24"/>
                <w:lang w:val="uk-UA" w:eastAsia="uk-UA" w:bidi="uk-UA"/>
              </w:rPr>
              <w:t xml:space="preserve">і </w:t>
            </w:r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 xml:space="preserve">розпоряджень, вносить пропозиції щодо формування планів роботи райдержадміністрації. </w:t>
            </w:r>
          </w:p>
          <w:p w:rsidR="003802C9" w:rsidRPr="003802C9" w:rsidRDefault="003802C9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33"/>
              </w:tabs>
              <w:ind w:left="142" w:firstLine="142"/>
              <w:jc w:val="left"/>
              <w:rPr>
                <w:spacing w:val="1"/>
                <w:sz w:val="24"/>
                <w:szCs w:val="24"/>
                <w:lang w:val="uk-UA" w:eastAsia="en-US"/>
              </w:rPr>
            </w:pPr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>2. Розробляє, організовує та контролює за проведенням заходів щодо запобігання</w:t>
            </w:r>
            <w:r w:rsidRPr="003802C9">
              <w:rPr>
                <w:i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>корупційним правопорушенням та правопорушенням, пов’язаним з корупцією.</w:t>
            </w:r>
          </w:p>
          <w:p w:rsidR="003802C9" w:rsidRPr="003802C9" w:rsidRDefault="003802C9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33"/>
              </w:tabs>
              <w:ind w:left="142" w:firstLine="142"/>
              <w:jc w:val="left"/>
              <w:rPr>
                <w:spacing w:val="1"/>
                <w:sz w:val="24"/>
                <w:szCs w:val="24"/>
                <w:lang w:val="uk-UA" w:eastAsia="en-US"/>
              </w:rPr>
            </w:pPr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3802C9">
              <w:rPr>
                <w:spacing w:val="1"/>
                <w:sz w:val="24"/>
                <w:szCs w:val="24"/>
                <w:lang w:val="uk-UA" w:eastAsia="en-US"/>
              </w:rPr>
              <w:t xml:space="preserve">. </w:t>
            </w:r>
            <w:r w:rsidRPr="003802C9">
              <w:rPr>
                <w:color w:val="000000"/>
                <w:sz w:val="24"/>
                <w:szCs w:val="24"/>
                <w:lang w:val="uk-UA" w:eastAsia="uk-UA" w:bidi="uk-UA"/>
              </w:rPr>
              <w:t>Організовує роботи з оцінки корупційних ризиків у діяльності відповідного органу, підготовки заходів щодо їх усунення, внесення керівнику такого органу відповідних пропозицій.</w:t>
            </w:r>
          </w:p>
          <w:p w:rsidR="003802C9" w:rsidRPr="003802C9" w:rsidRDefault="000F0418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9"/>
              </w:tabs>
              <w:ind w:left="142" w:firstLine="142"/>
              <w:jc w:val="left"/>
              <w:rPr>
                <w:spacing w:val="1"/>
                <w:sz w:val="24"/>
                <w:szCs w:val="24"/>
                <w:lang w:val="uk-UA" w:eastAsia="en-US"/>
              </w:rPr>
            </w:pPr>
            <w:r>
              <w:rPr>
                <w:spacing w:val="1"/>
                <w:sz w:val="24"/>
                <w:szCs w:val="24"/>
                <w:lang w:val="uk-UA" w:eastAsia="en-US"/>
              </w:rPr>
              <w:t>4</w:t>
            </w:r>
            <w:r w:rsidR="003802C9" w:rsidRPr="003802C9">
              <w:rPr>
                <w:spacing w:val="1"/>
                <w:sz w:val="24"/>
                <w:szCs w:val="24"/>
                <w:lang w:val="uk-UA" w:eastAsia="en-US"/>
              </w:rPr>
              <w:t xml:space="preserve">. </w:t>
            </w:r>
            <w:r w:rsidR="003802C9" w:rsidRPr="003802C9">
              <w:rPr>
                <w:color w:val="000000"/>
                <w:sz w:val="24"/>
                <w:szCs w:val="24"/>
                <w:lang w:val="uk-UA" w:eastAsia="uk-UA" w:bidi="uk-UA"/>
              </w:rPr>
              <w:t>Надає методичну та консультаційну допомоги з питань додержання законодавства щодо запобігання корупції.</w:t>
            </w:r>
          </w:p>
          <w:p w:rsidR="003802C9" w:rsidRPr="003802C9" w:rsidRDefault="000F0418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9"/>
              </w:tabs>
              <w:ind w:left="142" w:firstLine="142"/>
              <w:jc w:val="left"/>
              <w:rPr>
                <w:spacing w:val="1"/>
                <w:sz w:val="24"/>
                <w:szCs w:val="24"/>
                <w:lang w:val="uk-UA" w:eastAsia="en-US"/>
              </w:rPr>
            </w:pPr>
            <w:r>
              <w:rPr>
                <w:spacing w:val="1"/>
                <w:sz w:val="24"/>
                <w:szCs w:val="24"/>
                <w:lang w:val="uk-UA" w:eastAsia="en-US"/>
              </w:rPr>
              <w:t>5</w:t>
            </w:r>
            <w:r w:rsidR="003802C9" w:rsidRPr="003802C9">
              <w:rPr>
                <w:spacing w:val="1"/>
                <w:sz w:val="24"/>
                <w:szCs w:val="24"/>
                <w:lang w:val="uk-UA" w:eastAsia="en-US"/>
              </w:rPr>
              <w:t xml:space="preserve">. </w:t>
            </w:r>
            <w:r w:rsidR="003802C9" w:rsidRPr="003802C9">
              <w:rPr>
                <w:color w:val="000000"/>
                <w:sz w:val="24"/>
                <w:szCs w:val="24"/>
                <w:lang w:val="uk-UA" w:eastAsia="uk-UA" w:bidi="uk-UA"/>
              </w:rPr>
              <w:t>Здійснює заходи з виявлення конфлікту інтересів, сприяє його врегулюванню, інформує керівника райдержадміністрації та Національне агентство з питань запобігання корупції про виявлення конфлікту інтересів та заходи, вжиті для його врегулювання.</w:t>
            </w:r>
          </w:p>
          <w:p w:rsidR="003802C9" w:rsidRPr="003802C9" w:rsidRDefault="000F0418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9"/>
              </w:tabs>
              <w:ind w:left="142" w:firstLine="142"/>
              <w:jc w:val="left"/>
              <w:rPr>
                <w:spacing w:val="1"/>
                <w:sz w:val="24"/>
                <w:szCs w:val="24"/>
                <w:lang w:val="uk-UA" w:eastAsia="en-US"/>
              </w:rPr>
            </w:pPr>
            <w:r>
              <w:rPr>
                <w:spacing w:val="1"/>
                <w:sz w:val="24"/>
                <w:szCs w:val="24"/>
                <w:lang w:val="uk-UA" w:eastAsia="en-US"/>
              </w:rPr>
              <w:t>6</w:t>
            </w:r>
            <w:r w:rsidR="003802C9" w:rsidRPr="003802C9">
              <w:rPr>
                <w:spacing w:val="1"/>
                <w:sz w:val="24"/>
                <w:szCs w:val="24"/>
                <w:lang w:val="uk-UA" w:eastAsia="en-US"/>
              </w:rPr>
              <w:t xml:space="preserve">. </w:t>
            </w:r>
            <w:r w:rsidR="003802C9" w:rsidRPr="003802C9">
              <w:rPr>
                <w:color w:val="000000"/>
                <w:sz w:val="24"/>
                <w:szCs w:val="24"/>
                <w:lang w:val="uk-UA" w:eastAsia="uk-UA" w:bidi="uk-UA"/>
              </w:rPr>
              <w:t>Перевіряє факт подання суб’єктами декларування декларацій та повідомляє Національне агентство з питань запобігання корупції про випадки неподання чи несвоєчасного подання таких декларацій у визначеному Законом України «Про запобігання корупції» порядку.</w:t>
            </w:r>
          </w:p>
          <w:p w:rsidR="003802C9" w:rsidRPr="003802C9" w:rsidRDefault="000F0418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9"/>
              </w:tabs>
              <w:ind w:left="142" w:firstLine="142"/>
              <w:jc w:val="left"/>
              <w:rPr>
                <w:spacing w:val="1"/>
                <w:sz w:val="24"/>
                <w:szCs w:val="24"/>
                <w:lang w:val="uk-UA" w:eastAsia="en-US"/>
              </w:rPr>
            </w:pPr>
            <w:r>
              <w:rPr>
                <w:spacing w:val="1"/>
                <w:sz w:val="24"/>
                <w:szCs w:val="24"/>
                <w:lang w:val="uk-UA" w:eastAsia="en-US"/>
              </w:rPr>
              <w:t>7</w:t>
            </w:r>
            <w:r w:rsidR="003802C9" w:rsidRPr="003802C9">
              <w:rPr>
                <w:spacing w:val="1"/>
                <w:sz w:val="24"/>
                <w:szCs w:val="24"/>
                <w:lang w:val="uk-UA" w:eastAsia="en-US"/>
              </w:rPr>
              <w:t xml:space="preserve">. </w:t>
            </w:r>
            <w:r w:rsidR="003802C9" w:rsidRPr="003802C9">
              <w:rPr>
                <w:color w:val="000000"/>
                <w:sz w:val="24"/>
                <w:szCs w:val="24"/>
                <w:lang w:val="uk-UA" w:eastAsia="uk-UA" w:bidi="uk-UA"/>
              </w:rPr>
              <w:t>Здійснює контроль за дотриманням антикорупційного законодавства, у тому числі розгляд повідомлень про порушення вимог Закону України «Про запобігання корупції».</w:t>
            </w:r>
          </w:p>
          <w:p w:rsidR="003802C9" w:rsidRPr="003802C9" w:rsidRDefault="000F0418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9"/>
              </w:tabs>
              <w:ind w:left="142" w:firstLine="142"/>
              <w:jc w:val="left"/>
              <w:rPr>
                <w:spacing w:val="1"/>
                <w:sz w:val="24"/>
                <w:szCs w:val="24"/>
                <w:lang w:val="uk-UA" w:eastAsia="en-US"/>
              </w:rPr>
            </w:pPr>
            <w:r>
              <w:rPr>
                <w:spacing w:val="1"/>
                <w:sz w:val="24"/>
                <w:szCs w:val="24"/>
                <w:lang w:val="uk-UA" w:eastAsia="en-US"/>
              </w:rPr>
              <w:t>8</w:t>
            </w:r>
            <w:r w:rsidR="003802C9" w:rsidRPr="003802C9">
              <w:rPr>
                <w:spacing w:val="1"/>
                <w:sz w:val="24"/>
                <w:szCs w:val="24"/>
                <w:lang w:val="uk-UA" w:eastAsia="en-US"/>
              </w:rPr>
              <w:t xml:space="preserve">. </w:t>
            </w:r>
            <w:r w:rsidR="003802C9" w:rsidRPr="003802C9">
              <w:rPr>
                <w:color w:val="000000"/>
                <w:sz w:val="24"/>
                <w:szCs w:val="24"/>
                <w:lang w:val="uk-UA" w:eastAsia="uk-UA" w:bidi="uk-UA"/>
              </w:rPr>
              <w:t>Забезпечує захист працівників, які повідомили про порушення вимог Закону України «Про запобігання корупції», від застосування негативних заходів впливу з боку керівництва відповідно до законодавства щодо захисту викривачів.</w:t>
            </w:r>
          </w:p>
          <w:p w:rsidR="003802C9" w:rsidRPr="003802C9" w:rsidRDefault="000F0418" w:rsidP="0036746C">
            <w:pPr>
              <w:widowControl w:val="0"/>
              <w:tabs>
                <w:tab w:val="clear" w:pos="567"/>
                <w:tab w:val="clear" w:pos="5103"/>
                <w:tab w:val="clear" w:pos="7088"/>
                <w:tab w:val="left" w:pos="529"/>
              </w:tabs>
              <w:ind w:left="142" w:firstLine="142"/>
              <w:jc w:val="left"/>
              <w:rPr>
                <w:spacing w:val="1"/>
                <w:sz w:val="24"/>
                <w:szCs w:val="24"/>
                <w:lang w:val="uk-UA" w:eastAsia="en-US"/>
              </w:rPr>
            </w:pPr>
            <w:r>
              <w:rPr>
                <w:spacing w:val="1"/>
                <w:sz w:val="24"/>
                <w:szCs w:val="24"/>
                <w:lang w:val="uk-UA" w:eastAsia="en-US"/>
              </w:rPr>
              <w:t>9</w:t>
            </w:r>
            <w:r w:rsidR="003802C9" w:rsidRPr="003802C9">
              <w:rPr>
                <w:spacing w:val="1"/>
                <w:sz w:val="24"/>
                <w:szCs w:val="24"/>
                <w:lang w:val="uk-UA" w:eastAsia="en-US"/>
              </w:rPr>
              <w:t xml:space="preserve">. </w:t>
            </w:r>
            <w:r w:rsidR="003802C9" w:rsidRPr="003802C9">
              <w:rPr>
                <w:color w:val="000000"/>
                <w:sz w:val="24"/>
                <w:szCs w:val="24"/>
                <w:lang w:val="uk-UA" w:eastAsia="uk-UA" w:bidi="uk-UA"/>
              </w:rPr>
              <w:t>Інформує керівника райдержадміністрації, Національне агентство з питань запобігання корупції або інші спеціально уповноважені суб’єкти у сфері протидії корупції про факти порушення законодавства у сфері запобігання і протидії корупції.</w:t>
            </w:r>
          </w:p>
          <w:p w:rsidR="00E24799" w:rsidRPr="00E24799" w:rsidRDefault="00E63F9A" w:rsidP="0036746C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lastRenderedPageBreak/>
              <w:t>1</w:t>
            </w:r>
            <w:r w:rsidR="000F0418">
              <w:rPr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3802C9" w:rsidRPr="003802C9">
              <w:rPr>
                <w:color w:val="000000"/>
                <w:sz w:val="24"/>
                <w:szCs w:val="24"/>
                <w:lang w:val="uk-UA" w:eastAsia="uk-UA" w:bidi="uk-UA"/>
              </w:rPr>
              <w:t>. Взаємодіє з правоохоронними органами в межах повноважень</w:t>
            </w:r>
          </w:p>
        </w:tc>
      </w:tr>
      <w:tr w:rsidR="0078278F" w:rsidRPr="003B3E2B" w:rsidTr="003802C9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06C0" w:rsidRPr="0078278F" w:rsidRDefault="003802C9" w:rsidP="006206C0">
            <w:pPr>
              <w:pStyle w:val="rvps12"/>
              <w:spacing w:before="0" w:beforeAutospacing="0" w:after="60" w:afterAutospacing="0"/>
              <w:ind w:left="142" w:right="102" w:firstLine="142"/>
              <w:jc w:val="both"/>
            </w:pPr>
            <w:r>
              <w:t>посадовий оклад – 61</w:t>
            </w:r>
            <w:r w:rsidR="006206C0">
              <w:t>00</w:t>
            </w:r>
            <w:r w:rsidR="006206C0" w:rsidRPr="0078278F">
              <w:t xml:space="preserve"> грн. </w:t>
            </w:r>
          </w:p>
          <w:p w:rsidR="0078278F" w:rsidRDefault="006206C0" w:rsidP="006206C0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  <w:p w:rsidR="00B62B15" w:rsidRPr="0078278F" w:rsidRDefault="00B62B15" w:rsidP="006206C0">
            <w:pPr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</w:t>
            </w:r>
            <w:r w:rsidR="0078278F" w:rsidRPr="0078278F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C02A11" w:rsidRP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 w:rsidRPr="00C02A11">
              <w:rPr>
                <w:sz w:val="24"/>
                <w:szCs w:val="24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CD58AC" w:rsidRPr="00E86ED1" w:rsidRDefault="00CD58A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Державні службовці державного органу, в якому </w:t>
            </w:r>
            <w:r w:rsidRPr="00E86ED1">
              <w:rPr>
                <w:sz w:val="24"/>
                <w:szCs w:val="24"/>
                <w:lang w:val="uk-UA" w:eastAsia="uk-UA"/>
              </w:rPr>
              <w:lastRenderedPageBreak/>
              <w:t>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Default="00830657" w:rsidP="00004EFB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Документи приймаються до </w:t>
            </w:r>
            <w:r w:rsidR="00F30831">
              <w:rPr>
                <w:color w:val="000000" w:themeColor="text1"/>
                <w:sz w:val="24"/>
                <w:szCs w:val="24"/>
                <w:lang w:val="uk-UA" w:eastAsia="uk-UA"/>
              </w:rPr>
              <w:t>15</w:t>
            </w:r>
            <w:r w:rsidRPr="00F30831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год </w:t>
            </w:r>
            <w:r w:rsidR="00F30831">
              <w:rPr>
                <w:color w:val="000000" w:themeColor="text1"/>
                <w:sz w:val="24"/>
                <w:szCs w:val="24"/>
                <w:lang w:val="uk-UA" w:eastAsia="uk-UA"/>
              </w:rPr>
              <w:t>45</w:t>
            </w:r>
            <w:r w:rsidR="006E5592" w:rsidRPr="00F30831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хв </w:t>
            </w:r>
            <w:r w:rsidR="00F30831">
              <w:rPr>
                <w:color w:val="000000" w:themeColor="text1"/>
                <w:sz w:val="24"/>
                <w:szCs w:val="24"/>
                <w:lang w:val="uk-UA" w:eastAsia="uk-UA"/>
              </w:rPr>
              <w:t>14 січня</w:t>
            </w:r>
            <w:r w:rsidR="00004EFB" w:rsidRPr="00F30831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2E15CD" w:rsidRPr="00004EFB">
              <w:rPr>
                <w:sz w:val="24"/>
                <w:szCs w:val="24"/>
                <w:lang w:val="uk-UA" w:eastAsia="uk-UA"/>
              </w:rPr>
              <w:t>202</w:t>
            </w:r>
            <w:r w:rsidR="00F30831">
              <w:rPr>
                <w:sz w:val="24"/>
                <w:szCs w:val="24"/>
                <w:lang w:val="uk-UA" w:eastAsia="uk-UA"/>
              </w:rPr>
              <w:t>2</w:t>
            </w:r>
            <w:r w:rsidR="002E15CD" w:rsidRPr="00004EFB">
              <w:rPr>
                <w:sz w:val="24"/>
                <w:szCs w:val="24"/>
                <w:lang w:val="uk-UA" w:eastAsia="uk-UA"/>
              </w:rPr>
              <w:t> </w:t>
            </w:r>
            <w:r w:rsidRPr="00004EFB">
              <w:rPr>
                <w:sz w:val="24"/>
                <w:szCs w:val="24"/>
                <w:lang w:val="uk-UA" w:eastAsia="uk-UA"/>
              </w:rPr>
              <w:t>року включно</w:t>
            </w:r>
          </w:p>
          <w:p w:rsidR="00556DEC" w:rsidRPr="0078278F" w:rsidRDefault="00556DEC" w:rsidP="00004EFB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rPr>
          <w:trHeight w:val="104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3802C9">
        <w:trPr>
          <w:trHeight w:val="33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Default="00F204BA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</w:p>
          <w:p w:rsidR="0078278F" w:rsidRPr="0078278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799" w:rsidRDefault="00E24799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F30831" w:rsidRDefault="00F3083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19 січня 2022</w:t>
            </w:r>
            <w:r w:rsidR="00E51D4F" w:rsidRPr="00F30831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року 09 год. 00 хв.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тестування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та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F204BA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830657" w:rsidRPr="0078278F" w:rsidRDefault="00830657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</w:tc>
      </w:tr>
      <w:tr w:rsidR="00E51D4F" w:rsidRPr="00830657" w:rsidTr="003802C9">
        <w:trPr>
          <w:trHeight w:val="6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5B423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lastRenderedPageBreak/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F204BA" w:rsidRPr="00E51D4F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 xml:space="preserve">м. Київ, вул. Михайла Омеляновича-Павленка, 15 </w:t>
            </w:r>
            <w:r w:rsidRPr="00485110">
              <w:rPr>
                <w:sz w:val="24"/>
                <w:szCs w:val="24"/>
                <w:lang w:val="uk-UA" w:eastAsia="uk-UA"/>
              </w:rPr>
              <w:lastRenderedPageBreak/>
              <w:t>(проведення співбесіди за фізичної присутності кандидатів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наявності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негативного результату тестування на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-19 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експрес-тесту на визначення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антигена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коронавірусу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>
              <w:rPr>
                <w:sz w:val="24"/>
                <w:szCs w:val="24"/>
                <w:lang w:val="en-US" w:eastAsia="uk-UA"/>
              </w:rPr>
              <w:t>SARS</w:t>
            </w:r>
            <w:r w:rsidR="00F204BA" w:rsidRPr="00F204BA">
              <w:rPr>
                <w:sz w:val="24"/>
                <w:szCs w:val="24"/>
                <w:lang w:val="uk-UA" w:eastAsia="uk-UA"/>
              </w:rPr>
              <w:t>-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Со</w:t>
            </w:r>
            <w:proofErr w:type="spellEnd"/>
            <w:r w:rsidR="00F204BA">
              <w:rPr>
                <w:sz w:val="24"/>
                <w:szCs w:val="24"/>
                <w:lang w:val="en-US" w:eastAsia="uk-UA"/>
              </w:rPr>
              <w:t>V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-2, яке проведене не більш як за 72 години до відвідування </w:t>
            </w:r>
            <w:r w:rsidR="00F204BA">
              <w:rPr>
                <w:sz w:val="24"/>
                <w:szCs w:val="24"/>
                <w:lang w:val="uk-UA" w:eastAsia="uk-UA"/>
              </w:rPr>
              <w:t>конкурсу</w:t>
            </w:r>
            <w:r w:rsidR="00F204BA" w:rsidRPr="00F204BA">
              <w:rPr>
                <w:sz w:val="24"/>
                <w:szCs w:val="24"/>
                <w:lang w:val="uk-UA" w:eastAsia="uk-UA"/>
              </w:rPr>
              <w:t>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або документа, що підтверджує отримання повного курсу вакцинації,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міжнародного, внутрішнього сертифіката або іноземного сертифіката, що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підтверджує вакцинацію від СО</w:t>
            </w:r>
            <w:r w:rsidR="00F204BA">
              <w:rPr>
                <w:sz w:val="24"/>
                <w:szCs w:val="24"/>
                <w:lang w:val="en-US" w:eastAsia="uk-UA"/>
              </w:rPr>
              <w:t>VID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 -19 однією дозою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однодозної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або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двома дозами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дводозної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вакцини (зелені сертифікати), які включені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Всесвітньою організацією охорони здоров’я до переліку дозволених для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використання в надзвичайних ситуаціях, негативний результат тестування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 xml:space="preserve">методом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полімеразної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ланцюгової реакції або одужання особи від зазначеної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r w:rsidR="00F204BA" w:rsidRPr="00F204BA">
              <w:rPr>
                <w:sz w:val="24"/>
                <w:szCs w:val="24"/>
                <w:lang w:val="uk-UA" w:eastAsia="uk-UA"/>
              </w:rPr>
              <w:t>хвороби, чинність якого підтверджена за допомогою Єдиного державного</w:t>
            </w:r>
            <w:r w:rsidR="00F204BA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04BA" w:rsidRPr="00F204BA">
              <w:rPr>
                <w:sz w:val="24"/>
                <w:szCs w:val="24"/>
                <w:lang w:val="uk-UA" w:eastAsia="uk-UA"/>
              </w:rPr>
              <w:t>вебпорталу</w:t>
            </w:r>
            <w:proofErr w:type="spellEnd"/>
            <w:r w:rsidR="00F204BA" w:rsidRPr="00F204BA">
              <w:rPr>
                <w:sz w:val="24"/>
                <w:szCs w:val="24"/>
                <w:lang w:val="uk-UA" w:eastAsia="uk-UA"/>
              </w:rPr>
              <w:t xml:space="preserve"> електронних послуг, зокрема з використанням мобіл</w:t>
            </w:r>
            <w:r w:rsidR="00F204BA">
              <w:rPr>
                <w:sz w:val="24"/>
                <w:szCs w:val="24"/>
                <w:lang w:val="uk-UA" w:eastAsia="uk-UA"/>
              </w:rPr>
              <w:t>ьного додатка Порталу Дія (Дія</w:t>
            </w:r>
            <w:r w:rsidR="00F204BA" w:rsidRPr="00E51D4F">
              <w:rPr>
                <w:sz w:val="24"/>
                <w:szCs w:val="24"/>
                <w:lang w:val="uk-UA" w:eastAsia="uk-UA"/>
              </w:rPr>
              <w:t>)</w:t>
            </w:r>
          </w:p>
          <w:p w:rsidR="00E51D4F" w:rsidRPr="00485110" w:rsidRDefault="00E51D4F" w:rsidP="00F204B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6DEC" w:rsidRDefault="00556DEC" w:rsidP="00C02A11">
            <w:pPr>
              <w:ind w:left="142" w:firstLine="142"/>
              <w:jc w:val="left"/>
              <w:rPr>
                <w:sz w:val="24"/>
                <w:szCs w:val="24"/>
                <w:lang w:val="uk-UA"/>
              </w:rPr>
            </w:pPr>
          </w:p>
          <w:p w:rsidR="0078278F" w:rsidRPr="00004EFB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004EFB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F204BA" w:rsidRPr="00F204BA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F204BA" w:rsidRPr="00F204BA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F204BA" w:rsidRPr="00F204BA" w:rsidTr="003802C9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F204BA" w:rsidRPr="00F204BA" w:rsidTr="003802C9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DAE" w:rsidRPr="00F204BA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F204BA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F204BA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556DEC">
        <w:trPr>
          <w:trHeight w:val="553"/>
        </w:trPr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927B4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Встановлення цілей, пріоритетів та орієнтирів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182"/>
              </w:tabs>
              <w:ind w:firstLine="142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4927B4" w:rsidRPr="004927B4" w:rsidRDefault="004927B4" w:rsidP="004927B4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уміння визначати орієнтири для досягнення групових чи індивідуальних цілей</w:t>
            </w:r>
          </w:p>
        </w:tc>
      </w:tr>
      <w:tr w:rsidR="004927B4" w:rsidRPr="003B3E2B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28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здатність приймати вчасні та виважені рішення;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аналіз альтернатив;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спроможність іти на виважений ризик;</w:t>
            </w:r>
          </w:p>
          <w:p w:rsidR="004927B4" w:rsidRPr="004927B4" w:rsidRDefault="004927B4" w:rsidP="004927B4">
            <w:pPr>
              <w:pStyle w:val="a5"/>
              <w:tabs>
                <w:tab w:val="left" w:pos="299"/>
              </w:tabs>
              <w:spacing w:line="233" w:lineRule="auto"/>
              <w:ind w:left="16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автономність та ініціативність щодо пропозицій і рішень</w:t>
            </w:r>
          </w:p>
        </w:tc>
      </w:tr>
      <w:tr w:rsidR="004927B4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28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чітке бачення цілі;</w:t>
            </w:r>
          </w:p>
          <w:p w:rsidR="004927B4" w:rsidRPr="004927B4" w:rsidRDefault="004927B4" w:rsidP="004927B4">
            <w:pPr>
              <w:pStyle w:val="a5"/>
              <w:tabs>
                <w:tab w:val="left" w:pos="289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ефективне управління ресурсами;</w:t>
            </w:r>
          </w:p>
          <w:p w:rsidR="004927B4" w:rsidRPr="004927B4" w:rsidRDefault="004927B4" w:rsidP="004927B4">
            <w:pPr>
              <w:pStyle w:val="a5"/>
              <w:tabs>
                <w:tab w:val="left" w:pos="289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чітке планування реалізації;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3802C9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C9" w:rsidRDefault="003802C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C9" w:rsidRPr="00485110" w:rsidRDefault="003802C9" w:rsidP="00000B15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Ефективність координації з іншими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C9" w:rsidRPr="009F0800" w:rsidRDefault="003802C9" w:rsidP="00000B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802C9" w:rsidRPr="009F0800" w:rsidRDefault="003802C9" w:rsidP="00000B15">
            <w:pPr>
              <w:pStyle w:val="a5"/>
              <w:tabs>
                <w:tab w:val="left" w:pos="284"/>
              </w:tabs>
              <w:ind w:left="20" w:firstLine="122"/>
              <w:rPr>
                <w:sz w:val="24"/>
                <w:szCs w:val="24"/>
                <w:lang w:eastAsia="uk-UA" w:bidi="uk-UA"/>
              </w:rPr>
            </w:pPr>
            <w:r w:rsidRPr="009F0800">
              <w:rPr>
                <w:sz w:val="24"/>
                <w:szCs w:val="24"/>
                <w:lang w:eastAsia="uk-UA" w:bidi="uk-UA"/>
              </w:rPr>
              <w:t>уміння конструктивного обміну інформацією, узгодження та упорядкування дій;</w:t>
            </w:r>
          </w:p>
          <w:p w:rsidR="003802C9" w:rsidRPr="00485110" w:rsidRDefault="003802C9" w:rsidP="00000B15">
            <w:pPr>
              <w:pStyle w:val="a5"/>
              <w:tabs>
                <w:tab w:val="left" w:pos="284"/>
              </w:tabs>
              <w:ind w:firstLine="122"/>
              <w:rPr>
                <w:sz w:val="24"/>
                <w:szCs w:val="24"/>
                <w:lang w:eastAsia="uk-UA"/>
              </w:rPr>
            </w:pP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здатність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F0800">
              <w:rPr>
                <w:sz w:val="24"/>
                <w:szCs w:val="24"/>
                <w:lang w:val="ru-RU" w:eastAsia="uk-UA"/>
              </w:rPr>
              <w:t>до</w:t>
            </w:r>
            <w:proofErr w:type="gram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об'єднання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систематизації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спільних</w:t>
            </w:r>
            <w:proofErr w:type="spellEnd"/>
            <w:r w:rsidRPr="009F080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F0800">
              <w:rPr>
                <w:sz w:val="24"/>
                <w:szCs w:val="24"/>
                <w:lang w:val="ru-RU" w:eastAsia="uk-UA"/>
              </w:rPr>
              <w:t>зусиль</w:t>
            </w:r>
            <w:proofErr w:type="spellEnd"/>
          </w:p>
        </w:tc>
      </w:tr>
      <w:tr w:rsidR="003802C9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C9" w:rsidRDefault="003802C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2C9" w:rsidRPr="00485110" w:rsidRDefault="003802C9" w:rsidP="00000B1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02C9" w:rsidRPr="009F0800" w:rsidRDefault="003802C9" w:rsidP="003802C9">
            <w:pPr>
              <w:pStyle w:val="a5"/>
              <w:tabs>
                <w:tab w:val="left" w:pos="284"/>
              </w:tabs>
              <w:ind w:firstLine="160"/>
              <w:rPr>
                <w:sz w:val="24"/>
                <w:szCs w:val="24"/>
                <w:lang w:bidi="uk-UA"/>
              </w:rPr>
            </w:pPr>
            <w:r w:rsidRPr="009F0800">
              <w:rPr>
                <w:sz w:val="24"/>
                <w:szCs w:val="24"/>
                <w:lang w:bidi="uk-UA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802C9" w:rsidRPr="009F0800" w:rsidRDefault="003802C9" w:rsidP="003802C9">
            <w:pPr>
              <w:pStyle w:val="a5"/>
              <w:tabs>
                <w:tab w:val="left" w:pos="284"/>
              </w:tabs>
              <w:ind w:firstLine="160"/>
              <w:rPr>
                <w:sz w:val="24"/>
                <w:szCs w:val="24"/>
                <w:lang w:bidi="uk-UA"/>
              </w:rPr>
            </w:pPr>
            <w:r w:rsidRPr="009F0800">
              <w:rPr>
                <w:sz w:val="24"/>
                <w:szCs w:val="24"/>
                <w:lang w:bidi="uk-UA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3802C9" w:rsidRPr="009F0800" w:rsidRDefault="003802C9" w:rsidP="003802C9">
            <w:pPr>
              <w:pStyle w:val="a5"/>
              <w:tabs>
                <w:tab w:val="left" w:pos="284"/>
              </w:tabs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0800">
              <w:rPr>
                <w:sz w:val="24"/>
                <w:szCs w:val="24"/>
              </w:rPr>
              <w:t>свідомлення обмеження у виявленні переваг, прихильності та/або негативного ставлення до окремих фізичних та юридичних осіб та інших організацій</w:t>
            </w:r>
          </w:p>
        </w:tc>
      </w:tr>
      <w:tr w:rsidR="00E24799" w:rsidRPr="00C51A2E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Default="00E2479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C51A2E" w:rsidRDefault="00E24799" w:rsidP="005B4230">
            <w:pPr>
              <w:pStyle w:val="a5"/>
              <w:ind w:firstLine="14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4799" w:rsidRPr="00C51A2E" w:rsidRDefault="00E24799" w:rsidP="005B4230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24799" w:rsidRPr="00C51A2E" w:rsidRDefault="00E24799" w:rsidP="005B4230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4799" w:rsidRPr="00C51A2E" w:rsidRDefault="00E24799" w:rsidP="005B4230">
            <w:pPr>
              <w:pStyle w:val="a5"/>
              <w:tabs>
                <w:tab w:val="left" w:pos="327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572EF" w:rsidRPr="0078278F" w:rsidTr="003802C9">
        <w:tc>
          <w:tcPr>
            <w:tcW w:w="99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8572EF" w:rsidRPr="0078278F" w:rsidTr="003802C9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334E93" w:rsidTr="003802C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E50418" w:rsidRDefault="008572EF" w:rsidP="003802C9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="002A2DAE">
              <w:rPr>
                <w:sz w:val="24"/>
                <w:szCs w:val="24"/>
                <w:lang w:val="uk-UA" w:eastAsia="uk-UA"/>
              </w:rPr>
              <w:t xml:space="preserve"> «Про запобігання корупції»</w:t>
            </w:r>
          </w:p>
        </w:tc>
      </w:tr>
    </w:tbl>
    <w:p w:rsidR="007F49D5" w:rsidRDefault="007F49D5">
      <w:pPr>
        <w:rPr>
          <w:lang w:val="uk-UA"/>
        </w:rPr>
      </w:pPr>
    </w:p>
    <w:p w:rsidR="002B1555" w:rsidRPr="00F83E16" w:rsidRDefault="002B1555">
      <w:pPr>
        <w:rPr>
          <w:lang w:val="uk-UA"/>
        </w:rPr>
      </w:pPr>
    </w:p>
    <w:p w:rsidR="002B1555" w:rsidRPr="003B3E2B" w:rsidRDefault="00F11885" w:rsidP="002B1555">
      <w:pPr>
        <w:rPr>
          <w:color w:val="FFFFFF" w:themeColor="background1"/>
          <w:sz w:val="26"/>
          <w:szCs w:val="26"/>
          <w:lang w:val="uk-UA"/>
        </w:rPr>
      </w:pPr>
      <w:r w:rsidRPr="003B3E2B">
        <w:rPr>
          <w:color w:val="FFFFFF" w:themeColor="background1"/>
          <w:sz w:val="26"/>
          <w:szCs w:val="26"/>
          <w:lang w:val="uk-UA"/>
        </w:rPr>
        <w:t>Виконувач обов’язків к</w:t>
      </w:r>
      <w:r w:rsidR="002B1555" w:rsidRPr="003B3E2B">
        <w:rPr>
          <w:color w:val="FFFFFF" w:themeColor="background1"/>
          <w:sz w:val="26"/>
          <w:szCs w:val="26"/>
          <w:lang w:val="uk-UA"/>
        </w:rPr>
        <w:t>ерівник</w:t>
      </w:r>
      <w:r w:rsidRPr="003B3E2B">
        <w:rPr>
          <w:color w:val="FFFFFF" w:themeColor="background1"/>
          <w:sz w:val="26"/>
          <w:szCs w:val="26"/>
          <w:lang w:val="uk-UA"/>
        </w:rPr>
        <w:t>а</w:t>
      </w:r>
      <w:r w:rsidR="002B1555" w:rsidRPr="003B3E2B">
        <w:rPr>
          <w:color w:val="FFFFFF" w:themeColor="background1"/>
          <w:sz w:val="26"/>
          <w:szCs w:val="26"/>
          <w:lang w:val="uk-UA"/>
        </w:rPr>
        <w:t xml:space="preserve"> апарату </w:t>
      </w:r>
      <w:r w:rsidR="002B1555" w:rsidRPr="003B3E2B">
        <w:rPr>
          <w:color w:val="FFFFFF" w:themeColor="background1"/>
          <w:sz w:val="26"/>
          <w:szCs w:val="26"/>
          <w:lang w:val="uk-UA"/>
        </w:rPr>
        <w:tab/>
      </w:r>
      <w:r w:rsidR="002B1555" w:rsidRPr="003B3E2B">
        <w:rPr>
          <w:color w:val="FFFFFF" w:themeColor="background1"/>
          <w:sz w:val="26"/>
          <w:szCs w:val="26"/>
          <w:lang w:val="uk-UA"/>
        </w:rPr>
        <w:tab/>
      </w:r>
      <w:r w:rsidRPr="003B3E2B">
        <w:rPr>
          <w:color w:val="FFFFFF" w:themeColor="background1"/>
          <w:sz w:val="26"/>
          <w:szCs w:val="26"/>
          <w:lang w:val="uk-UA"/>
        </w:rPr>
        <w:t>Віктор КУРЕНЬОВ</w:t>
      </w:r>
    </w:p>
    <w:p w:rsidR="00F11885" w:rsidRPr="003802C9" w:rsidRDefault="00F11885" w:rsidP="002B1555">
      <w:pPr>
        <w:rPr>
          <w:sz w:val="26"/>
          <w:szCs w:val="26"/>
          <w:lang w:val="uk-UA"/>
        </w:rPr>
      </w:pPr>
      <w:bookmarkStart w:id="1" w:name="_GoBack"/>
      <w:bookmarkEnd w:id="1"/>
    </w:p>
    <w:sectPr w:rsidR="00F11885" w:rsidRPr="003802C9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2B">
          <w:rPr>
            <w:noProof/>
          </w:rPr>
          <w:t>2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0861"/>
    <w:multiLevelType w:val="multilevel"/>
    <w:tmpl w:val="579C7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04EFB"/>
    <w:rsid w:val="00033877"/>
    <w:rsid w:val="00074631"/>
    <w:rsid w:val="000C19EC"/>
    <w:rsid w:val="000C2297"/>
    <w:rsid w:val="000C3BE5"/>
    <w:rsid w:val="000F0418"/>
    <w:rsid w:val="000F5A3C"/>
    <w:rsid w:val="00126D3F"/>
    <w:rsid w:val="00153D3D"/>
    <w:rsid w:val="001830BA"/>
    <w:rsid w:val="002647C6"/>
    <w:rsid w:val="002A2DAE"/>
    <w:rsid w:val="002A7B0B"/>
    <w:rsid w:val="002B1555"/>
    <w:rsid w:val="002E15CD"/>
    <w:rsid w:val="00334E93"/>
    <w:rsid w:val="0036746C"/>
    <w:rsid w:val="003802C9"/>
    <w:rsid w:val="003B3E2B"/>
    <w:rsid w:val="004927B4"/>
    <w:rsid w:val="0053617C"/>
    <w:rsid w:val="00545650"/>
    <w:rsid w:val="00556DEC"/>
    <w:rsid w:val="005A1ED1"/>
    <w:rsid w:val="006206C0"/>
    <w:rsid w:val="00670D28"/>
    <w:rsid w:val="006E5592"/>
    <w:rsid w:val="0078278F"/>
    <w:rsid w:val="007971BD"/>
    <w:rsid w:val="007F296B"/>
    <w:rsid w:val="007F49D5"/>
    <w:rsid w:val="00802AAD"/>
    <w:rsid w:val="00815E6F"/>
    <w:rsid w:val="00821874"/>
    <w:rsid w:val="00830657"/>
    <w:rsid w:val="008572EF"/>
    <w:rsid w:val="0087213E"/>
    <w:rsid w:val="00882F00"/>
    <w:rsid w:val="008C5E9E"/>
    <w:rsid w:val="00911667"/>
    <w:rsid w:val="009D6D64"/>
    <w:rsid w:val="00B62B15"/>
    <w:rsid w:val="00C02A11"/>
    <w:rsid w:val="00C05879"/>
    <w:rsid w:val="00C3240E"/>
    <w:rsid w:val="00C51A2E"/>
    <w:rsid w:val="00C95207"/>
    <w:rsid w:val="00CD58AC"/>
    <w:rsid w:val="00D1109D"/>
    <w:rsid w:val="00D85F01"/>
    <w:rsid w:val="00E24799"/>
    <w:rsid w:val="00E50418"/>
    <w:rsid w:val="00E51D4F"/>
    <w:rsid w:val="00E54B26"/>
    <w:rsid w:val="00E63F9A"/>
    <w:rsid w:val="00E86ED1"/>
    <w:rsid w:val="00EE5B78"/>
    <w:rsid w:val="00F11885"/>
    <w:rsid w:val="00F204BA"/>
    <w:rsid w:val="00F2216F"/>
    <w:rsid w:val="00F23C5B"/>
    <w:rsid w:val="00F30831"/>
    <w:rsid w:val="00F34D9A"/>
    <w:rsid w:val="00F357EC"/>
    <w:rsid w:val="00F83E16"/>
    <w:rsid w:val="00FA20BF"/>
    <w:rsid w:val="00FD2F82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7233</Words>
  <Characters>4123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39</cp:revision>
  <cp:lastPrinted>2021-11-02T12:28:00Z</cp:lastPrinted>
  <dcterms:created xsi:type="dcterms:W3CDTF">2021-03-10T08:01:00Z</dcterms:created>
  <dcterms:modified xsi:type="dcterms:W3CDTF">2021-12-17T07:05:00Z</dcterms:modified>
</cp:coreProperties>
</file>